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C48F10C"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32348E">
                              <w:rPr>
                                <w:rFonts w:ascii="Open Sans" w:eastAsia="Open Sans" w:hAnsi="Open Sans" w:cs="Open Sans"/>
                                <w:b/>
                                <w:color w:val="1F108C"/>
                                <w:sz w:val="72"/>
                              </w:rPr>
                              <w:t>2</w:t>
                            </w:r>
                          </w:p>
                          <w:p w14:paraId="5C14A7F3" w14:textId="3AC67967" w:rsidR="00E24A77" w:rsidRDefault="0032348E">
                            <w:pPr>
                              <w:jc w:val="center"/>
                              <w:textDirection w:val="btLr"/>
                            </w:pPr>
                            <w:r w:rsidRPr="0032348E">
                              <w:rPr>
                                <w:rFonts w:ascii="Open Sans" w:eastAsia="Open Sans" w:hAnsi="Open Sans" w:cs="Open Sans"/>
                                <w:b/>
                                <w:color w:val="1F108C"/>
                                <w:sz w:val="36"/>
                                <w:szCs w:val="36"/>
                              </w:rPr>
                              <w:t>Policy Making</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C48F10C"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32348E">
                        <w:rPr>
                          <w:rFonts w:ascii="Open Sans" w:eastAsia="Open Sans" w:hAnsi="Open Sans" w:cs="Open Sans"/>
                          <w:b/>
                          <w:color w:val="1F108C"/>
                          <w:sz w:val="72"/>
                        </w:rPr>
                        <w:t>2</w:t>
                      </w:r>
                    </w:p>
                    <w:p w14:paraId="5C14A7F3" w14:textId="3AC67967" w:rsidR="00E24A77" w:rsidRDefault="0032348E">
                      <w:pPr>
                        <w:jc w:val="center"/>
                        <w:textDirection w:val="btLr"/>
                      </w:pPr>
                      <w:r w:rsidRPr="0032348E">
                        <w:rPr>
                          <w:rFonts w:ascii="Open Sans" w:eastAsia="Open Sans" w:hAnsi="Open Sans" w:cs="Open Sans"/>
                          <w:b/>
                          <w:color w:val="1F108C"/>
                          <w:sz w:val="36"/>
                          <w:szCs w:val="36"/>
                        </w:rPr>
                        <w:t>Policy Making</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585B383"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Activity </w:t>
      </w:r>
      <w:r w:rsidR="0032348E">
        <w:rPr>
          <w:rFonts w:ascii="Calibri" w:eastAsia="Calibri" w:hAnsi="Calibri" w:cs="Calibri"/>
          <w:b/>
          <w:color w:val="00008F"/>
          <w:sz w:val="30"/>
          <w:szCs w:val="30"/>
        </w:rPr>
        <w:t>2</w:t>
      </w:r>
    </w:p>
    <w:p w14:paraId="3E89224B" w14:textId="25070EB8" w:rsidR="00E24A77" w:rsidRDefault="00E24A77" w:rsidP="00332DCD">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32348E" w:rsidRPr="0032348E" w14:paraId="110DF1F5" w14:textId="77777777" w:rsidTr="006C25DE">
        <w:trPr>
          <w:trHeight w:val="527"/>
        </w:trPr>
        <w:tc>
          <w:tcPr>
            <w:tcW w:w="2055" w:type="dxa"/>
            <w:shd w:val="clear" w:color="auto" w:fill="E7E6E6"/>
          </w:tcPr>
          <w:p w14:paraId="5164CEE7"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t>Domain</w:t>
            </w:r>
          </w:p>
        </w:tc>
        <w:tc>
          <w:tcPr>
            <w:tcW w:w="6225" w:type="dxa"/>
          </w:tcPr>
          <w:p w14:paraId="236266C9"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t>e-participation</w:t>
            </w:r>
          </w:p>
        </w:tc>
      </w:tr>
      <w:tr w:rsidR="0032348E" w:rsidRPr="0032348E" w14:paraId="7FF7D552" w14:textId="77777777" w:rsidTr="006C25DE">
        <w:trPr>
          <w:trHeight w:val="620"/>
        </w:trPr>
        <w:tc>
          <w:tcPr>
            <w:tcW w:w="2055" w:type="dxa"/>
            <w:shd w:val="clear" w:color="auto" w:fill="E7E6E6"/>
          </w:tcPr>
          <w:p w14:paraId="5F07FBAD"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t>Topic Covered</w:t>
            </w:r>
          </w:p>
        </w:tc>
        <w:tc>
          <w:tcPr>
            <w:tcW w:w="6225" w:type="dxa"/>
          </w:tcPr>
          <w:p w14:paraId="504EF41D" w14:textId="77777777" w:rsidR="0032348E" w:rsidRPr="0032348E" w:rsidRDefault="0032348E" w:rsidP="0032348E">
            <w:pPr>
              <w:spacing w:after="0" w:line="240" w:lineRule="auto"/>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Policy Making</w:t>
            </w:r>
          </w:p>
        </w:tc>
      </w:tr>
      <w:tr w:rsidR="0032348E" w:rsidRPr="0032348E" w14:paraId="76E44343" w14:textId="77777777" w:rsidTr="006C25DE">
        <w:trPr>
          <w:trHeight w:val="1337"/>
        </w:trPr>
        <w:tc>
          <w:tcPr>
            <w:tcW w:w="2055" w:type="dxa"/>
            <w:shd w:val="clear" w:color="auto" w:fill="E7E6E6"/>
          </w:tcPr>
          <w:p w14:paraId="61BFB45B"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t>Learning Outcomes and Competences</w:t>
            </w:r>
          </w:p>
        </w:tc>
        <w:tc>
          <w:tcPr>
            <w:tcW w:w="6225" w:type="dxa"/>
          </w:tcPr>
          <w:p w14:paraId="1276F3C8" w14:textId="77777777" w:rsidR="0032348E" w:rsidRPr="0032348E" w:rsidRDefault="0032348E" w:rsidP="0032348E">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32348E">
              <w:rPr>
                <w:rFonts w:ascii="Calibri" w:eastAsia="Times New Roman" w:hAnsi="Calibri" w:cs="Calibri"/>
                <w:sz w:val="22"/>
                <w:szCs w:val="22"/>
                <w:lang w:eastAsia="en-US"/>
              </w:rPr>
              <w:t>Familiarize with the concept of Policy Making, and the practice of its digital aspect</w:t>
            </w:r>
          </w:p>
          <w:p w14:paraId="787308A2" w14:textId="77777777" w:rsidR="0032348E" w:rsidRPr="0032348E" w:rsidRDefault="0032348E" w:rsidP="0032348E">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32348E">
              <w:rPr>
                <w:rFonts w:ascii="Calibri" w:eastAsia="Times New Roman" w:hAnsi="Calibri" w:cs="Calibri"/>
                <w:sz w:val="22"/>
                <w:szCs w:val="22"/>
                <w:lang w:eastAsia="en-US"/>
              </w:rPr>
              <w:t>Embrace the concept of a forum, and a digital community</w:t>
            </w:r>
          </w:p>
          <w:p w14:paraId="701F2BE7" w14:textId="77777777" w:rsidR="0032348E" w:rsidRPr="0032348E" w:rsidRDefault="0032348E" w:rsidP="0032348E">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32348E">
              <w:rPr>
                <w:rFonts w:ascii="Calibri" w:eastAsia="Times New Roman" w:hAnsi="Calibri" w:cs="Calibri"/>
                <w:sz w:val="22"/>
                <w:szCs w:val="22"/>
                <w:lang w:eastAsia="en-US"/>
              </w:rPr>
              <w:t>Digital skills practice</w:t>
            </w:r>
          </w:p>
        </w:tc>
      </w:tr>
      <w:tr w:rsidR="0032348E" w:rsidRPr="0032348E" w14:paraId="49AA9F98" w14:textId="77777777" w:rsidTr="006C25DE">
        <w:trPr>
          <w:trHeight w:val="527"/>
        </w:trPr>
        <w:tc>
          <w:tcPr>
            <w:tcW w:w="2055" w:type="dxa"/>
            <w:shd w:val="clear" w:color="auto" w:fill="E7E6E6"/>
          </w:tcPr>
          <w:p w14:paraId="2DF55568"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t>Duration</w:t>
            </w:r>
          </w:p>
        </w:tc>
        <w:tc>
          <w:tcPr>
            <w:tcW w:w="6225" w:type="dxa"/>
          </w:tcPr>
          <w:p w14:paraId="37DA3832" w14:textId="77777777" w:rsidR="0032348E" w:rsidRPr="0032348E" w:rsidRDefault="0032348E" w:rsidP="0032348E">
            <w:pPr>
              <w:spacing w:after="0" w:line="240" w:lineRule="auto"/>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45 minutes</w:t>
            </w:r>
          </w:p>
        </w:tc>
      </w:tr>
      <w:tr w:rsidR="0032348E" w:rsidRPr="0032348E" w14:paraId="5BD4656B" w14:textId="77777777" w:rsidTr="006C25DE">
        <w:trPr>
          <w:trHeight w:val="725"/>
        </w:trPr>
        <w:tc>
          <w:tcPr>
            <w:tcW w:w="2055" w:type="dxa"/>
            <w:shd w:val="clear" w:color="auto" w:fill="E7E6E6"/>
          </w:tcPr>
          <w:p w14:paraId="31B9645C"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t>Kind of Method </w:t>
            </w:r>
          </w:p>
        </w:tc>
        <w:tc>
          <w:tcPr>
            <w:tcW w:w="6225" w:type="dxa"/>
          </w:tcPr>
          <w:p w14:paraId="304BE49B" w14:textId="77777777" w:rsidR="0032348E" w:rsidRPr="0032348E" w:rsidRDefault="0032348E" w:rsidP="0032348E">
            <w:pPr>
              <w:numPr>
                <w:ilvl w:val="0"/>
                <w:numId w:val="14"/>
              </w:numPr>
              <w:spacing w:after="0" w:line="240" w:lineRule="auto"/>
              <w:ind w:left="430" w:hanging="43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Digital platform</w:t>
            </w:r>
          </w:p>
          <w:p w14:paraId="6A8DD736" w14:textId="77777777" w:rsidR="0032348E" w:rsidRPr="0032348E" w:rsidRDefault="0032348E" w:rsidP="0032348E">
            <w:pPr>
              <w:numPr>
                <w:ilvl w:val="0"/>
                <w:numId w:val="14"/>
              </w:numPr>
              <w:spacing w:after="0" w:line="240" w:lineRule="auto"/>
              <w:ind w:left="430" w:hanging="43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interactive discussion</w:t>
            </w:r>
          </w:p>
          <w:p w14:paraId="5E8628B4" w14:textId="77777777" w:rsidR="0032348E" w:rsidRPr="0032348E" w:rsidRDefault="0032348E" w:rsidP="0032348E">
            <w:pPr>
              <w:numPr>
                <w:ilvl w:val="0"/>
                <w:numId w:val="14"/>
              </w:numPr>
              <w:spacing w:after="0" w:line="240" w:lineRule="auto"/>
              <w:ind w:left="430" w:hanging="43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non-formal education</w:t>
            </w:r>
          </w:p>
        </w:tc>
      </w:tr>
      <w:tr w:rsidR="0032348E" w:rsidRPr="0032348E" w14:paraId="35A7B3CB" w14:textId="77777777" w:rsidTr="006C25DE">
        <w:trPr>
          <w:trHeight w:val="1067"/>
        </w:trPr>
        <w:tc>
          <w:tcPr>
            <w:tcW w:w="2055" w:type="dxa"/>
            <w:shd w:val="clear" w:color="auto" w:fill="E7E6E6"/>
          </w:tcPr>
          <w:p w14:paraId="7E43A683"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t xml:space="preserve">Required Materials </w:t>
            </w:r>
          </w:p>
        </w:tc>
        <w:tc>
          <w:tcPr>
            <w:tcW w:w="6225" w:type="dxa"/>
          </w:tcPr>
          <w:p w14:paraId="0457FE55" w14:textId="77777777" w:rsidR="0032348E" w:rsidRPr="0032348E" w:rsidRDefault="0032348E" w:rsidP="0032348E">
            <w:pPr>
              <w:numPr>
                <w:ilvl w:val="0"/>
                <w:numId w:val="14"/>
              </w:numPr>
              <w:spacing w:after="0" w:line="240" w:lineRule="auto"/>
              <w:ind w:left="430" w:hanging="43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 xml:space="preserve"> projector/monitor</w:t>
            </w:r>
          </w:p>
          <w:p w14:paraId="3EC4B767" w14:textId="77777777" w:rsidR="0032348E" w:rsidRPr="0032348E" w:rsidRDefault="0032348E" w:rsidP="0032348E">
            <w:pPr>
              <w:numPr>
                <w:ilvl w:val="0"/>
                <w:numId w:val="14"/>
              </w:numPr>
              <w:spacing w:after="0" w:line="240" w:lineRule="auto"/>
              <w:ind w:left="430" w:hanging="43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laptops/smartphones</w:t>
            </w:r>
          </w:p>
          <w:p w14:paraId="1BBCD0EC" w14:textId="77777777" w:rsidR="0032348E" w:rsidRPr="0032348E" w:rsidRDefault="0032348E" w:rsidP="0032348E">
            <w:pPr>
              <w:numPr>
                <w:ilvl w:val="0"/>
                <w:numId w:val="14"/>
              </w:numPr>
              <w:spacing w:after="0" w:line="240" w:lineRule="auto"/>
              <w:ind w:left="430" w:hanging="43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notebook-pen (for keeping notes)</w:t>
            </w:r>
          </w:p>
        </w:tc>
      </w:tr>
      <w:tr w:rsidR="0032348E" w:rsidRPr="0032348E" w14:paraId="0384333C" w14:textId="77777777" w:rsidTr="006C25DE">
        <w:trPr>
          <w:trHeight w:val="2690"/>
        </w:trPr>
        <w:tc>
          <w:tcPr>
            <w:tcW w:w="2055" w:type="dxa"/>
            <w:shd w:val="clear" w:color="auto" w:fill="E7E6E6"/>
          </w:tcPr>
          <w:p w14:paraId="7DA94636"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t>Learning Setting and Activity Description</w:t>
            </w:r>
          </w:p>
        </w:tc>
        <w:tc>
          <w:tcPr>
            <w:tcW w:w="6225" w:type="dxa"/>
          </w:tcPr>
          <w:p w14:paraId="61F79328" w14:textId="77777777" w:rsidR="0032348E" w:rsidRPr="0032348E" w:rsidRDefault="0032348E" w:rsidP="0032348E">
            <w:pPr>
              <w:spacing w:after="0" w:line="240" w:lineRule="auto"/>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 xml:space="preserve">Once again, the educator introduces the topic, with a discussion on community, digital forums, but also the importance of citizens participating and expressing their opinions in public matters. </w:t>
            </w:r>
          </w:p>
          <w:p w14:paraId="1D9F292B" w14:textId="77777777" w:rsidR="0032348E" w:rsidRPr="0032348E" w:rsidRDefault="0032348E" w:rsidP="0032348E">
            <w:pPr>
              <w:numPr>
                <w:ilvl w:val="0"/>
                <w:numId w:val="17"/>
              </w:numPr>
              <w:spacing w:after="0" w:line="240" w:lineRule="auto"/>
              <w:ind w:left="430" w:hanging="45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Initiation of a discussion on policy making, and expressing thoughts on public matters. A set of questions follow:</w:t>
            </w:r>
          </w:p>
          <w:p w14:paraId="7DFB16AE" w14:textId="77777777" w:rsidR="0032348E" w:rsidRPr="0032348E" w:rsidRDefault="0032348E" w:rsidP="0032348E">
            <w:pPr>
              <w:numPr>
                <w:ilvl w:val="0"/>
                <w:numId w:val="16"/>
              </w:numPr>
              <w:spacing w:after="0" w:line="240" w:lineRule="auto"/>
              <w:ind w:left="880" w:hanging="45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Why is policy making important?</w:t>
            </w:r>
          </w:p>
          <w:p w14:paraId="24A21D07" w14:textId="77777777" w:rsidR="0032348E" w:rsidRPr="0032348E" w:rsidRDefault="0032348E" w:rsidP="0032348E">
            <w:pPr>
              <w:numPr>
                <w:ilvl w:val="0"/>
                <w:numId w:val="16"/>
              </w:numPr>
              <w:spacing w:after="0" w:line="240" w:lineRule="auto"/>
              <w:ind w:left="880" w:hanging="45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Have you ever practiced it?</w:t>
            </w:r>
          </w:p>
          <w:p w14:paraId="7A406D48" w14:textId="77777777" w:rsidR="0032348E" w:rsidRPr="0032348E" w:rsidRDefault="0032348E" w:rsidP="0032348E">
            <w:pPr>
              <w:numPr>
                <w:ilvl w:val="0"/>
                <w:numId w:val="16"/>
              </w:numPr>
              <w:spacing w:after="0" w:line="240" w:lineRule="auto"/>
              <w:ind w:left="880" w:hanging="45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 xml:space="preserve">In what ways can it be practiced digitally? </w:t>
            </w:r>
          </w:p>
          <w:p w14:paraId="14AD57E6" w14:textId="77777777" w:rsidR="0032348E" w:rsidRPr="0032348E" w:rsidRDefault="0032348E" w:rsidP="0032348E">
            <w:pPr>
              <w:spacing w:after="0" w:line="240" w:lineRule="auto"/>
              <w:ind w:left="720"/>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etc.</w:t>
            </w:r>
          </w:p>
          <w:p w14:paraId="19E6F295" w14:textId="638CBEA9" w:rsidR="0032348E" w:rsidRPr="0032348E" w:rsidRDefault="0032348E" w:rsidP="0032348E">
            <w:pPr>
              <w:spacing w:after="0" w:line="240" w:lineRule="auto"/>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 xml:space="preserve">2. After the discussion is completed, the educator uses the provided platform, </w:t>
            </w:r>
            <w:hyperlink r:id="rId13">
              <w:r w:rsidRPr="0032348E">
                <w:rPr>
                  <w:rFonts w:ascii="Calibri" w:eastAsia="Times New Roman" w:hAnsi="Calibri" w:cs="Calibri"/>
                  <w:color w:val="1155CC"/>
                  <w:sz w:val="22"/>
                  <w:szCs w:val="22"/>
                  <w:u w:val="single"/>
                  <w:lang w:eastAsia="en-US"/>
                </w:rPr>
                <w:t>Kialo Edu</w:t>
              </w:r>
            </w:hyperlink>
            <w:r w:rsidRPr="0032348E">
              <w:rPr>
                <w:rFonts w:ascii="Calibri" w:eastAsia="Times New Roman" w:hAnsi="Calibri" w:cs="Calibri"/>
                <w:sz w:val="22"/>
                <w:szCs w:val="22"/>
                <w:lang w:eastAsia="en-US"/>
              </w:rPr>
              <w:t xml:space="preserve">, in order to develop a discussion-participation forum, which represents an e-government platform designed for e-Policy Making.  unique tool for teaching critical thinking. Kialo Edu is a custom version of Kialo (kialo.com), the world’s largest argument mapping and debate site, specifically designed for classroom use. </w:t>
            </w:r>
            <w:proofErr w:type="spellStart"/>
            <w:r w:rsidRPr="0032348E">
              <w:rPr>
                <w:rFonts w:ascii="Calibri" w:eastAsia="Times New Roman" w:hAnsi="Calibri" w:cs="Calibri"/>
                <w:sz w:val="22"/>
                <w:szCs w:val="22"/>
                <w:lang w:eastAsia="en-US"/>
              </w:rPr>
              <w:t>Its</w:t>
            </w:r>
            <w:proofErr w:type="spellEnd"/>
            <w:r w:rsidRPr="0032348E">
              <w:rPr>
                <w:rFonts w:ascii="Calibri" w:eastAsia="Times New Roman" w:hAnsi="Calibri" w:cs="Calibri"/>
                <w:sz w:val="22"/>
                <w:szCs w:val="22"/>
                <w:lang w:eastAsia="en-US"/>
              </w:rPr>
              <w:t xml:space="preserve"> clear, visually compelling format makes it easy to follow the logical structure of a discussion and facilitates thoughtful collaboration. Kialo’s mission is to promote well-reasoned discussion online, and to that end, Kialo is free for educators to use. The students enter the platform and register as users. The educator provides a subject of public interest, such as a new law, an ordinance, or a call for brainstorming for the definition of the latter. </w:t>
            </w:r>
          </w:p>
          <w:p w14:paraId="0ED459C2" w14:textId="297B4478" w:rsidR="0032348E" w:rsidRPr="0032348E" w:rsidRDefault="0032348E" w:rsidP="0032348E">
            <w:pPr>
              <w:spacing w:after="0" w:line="240" w:lineRule="auto"/>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The users-citizens, take time to read and understand the given passage, and are eventually asked to provide a positive/negative response and elaborate on an alternative/why they think it is a good proposal.</w:t>
            </w:r>
          </w:p>
        </w:tc>
      </w:tr>
      <w:tr w:rsidR="0032348E" w:rsidRPr="0032348E" w14:paraId="42172675" w14:textId="77777777" w:rsidTr="006C25DE">
        <w:trPr>
          <w:trHeight w:val="1517"/>
        </w:trPr>
        <w:tc>
          <w:tcPr>
            <w:tcW w:w="2055" w:type="dxa"/>
            <w:shd w:val="clear" w:color="auto" w:fill="E7E6E6"/>
          </w:tcPr>
          <w:p w14:paraId="01AE2A6A"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lastRenderedPageBreak/>
              <w:t>Activity Evaluation/ Reflection</w:t>
            </w:r>
          </w:p>
        </w:tc>
        <w:tc>
          <w:tcPr>
            <w:tcW w:w="6225" w:type="dxa"/>
          </w:tcPr>
          <w:p w14:paraId="7081E410" w14:textId="556A35D6" w:rsidR="0032348E" w:rsidRPr="0032348E" w:rsidRDefault="0032348E" w:rsidP="0032348E">
            <w:pPr>
              <w:spacing w:after="0" w:line="240" w:lineRule="auto"/>
              <w:jc w:val="both"/>
              <w:rPr>
                <w:rFonts w:ascii="Calibri" w:eastAsia="Times New Roman" w:hAnsi="Calibri" w:cs="Calibri"/>
                <w:sz w:val="22"/>
                <w:szCs w:val="22"/>
                <w:lang w:eastAsia="en-US"/>
              </w:rPr>
            </w:pPr>
            <w:r w:rsidRPr="0032348E">
              <w:rPr>
                <w:rFonts w:ascii="Calibri" w:eastAsia="Times New Roman" w:hAnsi="Calibri" w:cs="Calibri"/>
                <w:sz w:val="22"/>
                <w:szCs w:val="22"/>
                <w:lang w:eastAsia="en-US"/>
              </w:rPr>
              <w:t>The students not only reflect on the importance of participating in public affairs, but also come in contact with a platform that allows them to do so digitally. On top of that, the current activity requires the practice of upper-basic digital skills, allowing them to practice that aspect as well.</w:t>
            </w:r>
          </w:p>
        </w:tc>
      </w:tr>
      <w:tr w:rsidR="0032348E" w:rsidRPr="0032348E" w14:paraId="44B65C24" w14:textId="77777777" w:rsidTr="006C25DE">
        <w:trPr>
          <w:trHeight w:val="1517"/>
        </w:trPr>
        <w:tc>
          <w:tcPr>
            <w:tcW w:w="2055" w:type="dxa"/>
            <w:shd w:val="clear" w:color="auto" w:fill="E7E6E6"/>
          </w:tcPr>
          <w:p w14:paraId="0D2B3F08" w14:textId="77777777" w:rsidR="0032348E" w:rsidRPr="0032348E" w:rsidRDefault="0032348E" w:rsidP="0032348E">
            <w:pPr>
              <w:spacing w:after="0" w:line="240" w:lineRule="auto"/>
              <w:jc w:val="both"/>
              <w:rPr>
                <w:rFonts w:ascii="Calibri" w:eastAsia="Times New Roman" w:hAnsi="Calibri" w:cs="Calibri"/>
                <w:b/>
                <w:sz w:val="22"/>
                <w:szCs w:val="22"/>
                <w:lang w:eastAsia="en-US"/>
              </w:rPr>
            </w:pPr>
            <w:r w:rsidRPr="0032348E">
              <w:rPr>
                <w:rFonts w:ascii="Calibri" w:eastAsia="Times New Roman" w:hAnsi="Calibri" w:cs="Calibri"/>
                <w:b/>
                <w:sz w:val="22"/>
                <w:szCs w:val="22"/>
                <w:lang w:eastAsia="en-US"/>
              </w:rPr>
              <w:t>Supporting materials</w:t>
            </w:r>
          </w:p>
        </w:tc>
        <w:tc>
          <w:tcPr>
            <w:tcW w:w="6225" w:type="dxa"/>
          </w:tcPr>
          <w:p w14:paraId="4F1DD84B" w14:textId="39A27345" w:rsidR="0032348E" w:rsidRPr="0032348E" w:rsidRDefault="009B1DF9" w:rsidP="0032348E">
            <w:pPr>
              <w:spacing w:after="0" w:line="240" w:lineRule="auto"/>
              <w:jc w:val="both"/>
              <w:rPr>
                <w:rFonts w:ascii="Calibri" w:eastAsia="Times New Roman" w:hAnsi="Calibri" w:cs="Calibri"/>
                <w:sz w:val="22"/>
                <w:szCs w:val="22"/>
                <w:lang w:eastAsia="en-US"/>
              </w:rPr>
            </w:pPr>
            <w:hyperlink r:id="rId14" w:history="1">
              <w:r w:rsidR="0032348E" w:rsidRPr="009B1DF9">
                <w:rPr>
                  <w:rStyle w:val="-"/>
                  <w:rFonts w:ascii="Calibri" w:eastAsia="Times New Roman" w:hAnsi="Calibri" w:cs="Calibri"/>
                  <w:sz w:val="22"/>
                  <w:szCs w:val="22"/>
                  <w:lang w:eastAsia="en-US"/>
                </w:rPr>
                <w:t>Activity 2 presentation</w:t>
              </w:r>
            </w:hyperlink>
            <w:r w:rsidR="0032348E" w:rsidRPr="0032348E">
              <w:rPr>
                <w:rFonts w:ascii="Calibri" w:eastAsia="Times New Roman" w:hAnsi="Calibri" w:cs="Calibri"/>
                <w:sz w:val="22"/>
                <w:szCs w:val="22"/>
                <w:lang w:eastAsia="en-US"/>
              </w:rPr>
              <w:t xml:space="preserve"> </w:t>
            </w:r>
          </w:p>
          <w:p w14:paraId="46FF8C8A" w14:textId="77777777" w:rsidR="0032348E" w:rsidRPr="0032348E" w:rsidRDefault="0032348E" w:rsidP="0032348E">
            <w:pPr>
              <w:spacing w:after="0" w:line="240" w:lineRule="auto"/>
              <w:jc w:val="both"/>
              <w:rPr>
                <w:rFonts w:ascii="Calibri" w:eastAsia="Times New Roman" w:hAnsi="Calibri" w:cs="Calibri"/>
                <w:sz w:val="22"/>
                <w:szCs w:val="22"/>
                <w:lang w:eastAsia="en-US"/>
              </w:rPr>
            </w:pPr>
          </w:p>
          <w:p w14:paraId="54BF550F" w14:textId="77777777" w:rsidR="0032348E" w:rsidRPr="0032348E" w:rsidRDefault="00000000" w:rsidP="0032348E">
            <w:pPr>
              <w:spacing w:after="0" w:line="240" w:lineRule="auto"/>
              <w:jc w:val="both"/>
              <w:rPr>
                <w:rFonts w:ascii="Calibri" w:eastAsia="Times New Roman" w:hAnsi="Calibri" w:cs="Calibri"/>
                <w:sz w:val="22"/>
                <w:szCs w:val="22"/>
                <w:lang w:eastAsia="en-US"/>
              </w:rPr>
            </w:pPr>
            <w:hyperlink r:id="rId15">
              <w:r w:rsidR="0032348E" w:rsidRPr="0032348E">
                <w:rPr>
                  <w:rFonts w:ascii="Calibri" w:eastAsia="Times New Roman" w:hAnsi="Calibri" w:cs="Calibri"/>
                  <w:color w:val="1155CC"/>
                  <w:sz w:val="22"/>
                  <w:szCs w:val="22"/>
                  <w:u w:val="single"/>
                  <w:lang w:eastAsia="en-US"/>
                </w:rPr>
                <w:t xml:space="preserve">Kialo </w:t>
              </w:r>
              <w:proofErr w:type="spellStart"/>
              <w:r w:rsidR="0032348E" w:rsidRPr="0032348E">
                <w:rPr>
                  <w:rFonts w:ascii="Calibri" w:eastAsia="Times New Roman" w:hAnsi="Calibri" w:cs="Calibri"/>
                  <w:color w:val="1155CC"/>
                  <w:sz w:val="22"/>
                  <w:szCs w:val="22"/>
                  <w:u w:val="single"/>
                  <w:lang w:eastAsia="en-US"/>
                </w:rPr>
                <w:t>edu</w:t>
              </w:r>
              <w:proofErr w:type="spellEnd"/>
              <w:r w:rsidR="0032348E" w:rsidRPr="0032348E">
                <w:rPr>
                  <w:rFonts w:ascii="Calibri" w:eastAsia="Times New Roman" w:hAnsi="Calibri" w:cs="Calibri"/>
                  <w:color w:val="1155CC"/>
                  <w:sz w:val="22"/>
                  <w:szCs w:val="22"/>
                  <w:u w:val="single"/>
                  <w:lang w:eastAsia="en-US"/>
                </w:rPr>
                <w:t xml:space="preserve"> platform</w:t>
              </w:r>
            </w:hyperlink>
          </w:p>
          <w:p w14:paraId="4B2F12DD" w14:textId="77777777" w:rsidR="0032348E" w:rsidRPr="0032348E" w:rsidRDefault="0032348E" w:rsidP="0032348E">
            <w:pPr>
              <w:spacing w:after="0" w:line="240" w:lineRule="auto"/>
              <w:jc w:val="both"/>
              <w:rPr>
                <w:rFonts w:ascii="Calibri" w:eastAsia="Times New Roman" w:hAnsi="Calibri" w:cs="Calibri"/>
                <w:sz w:val="22"/>
                <w:szCs w:val="22"/>
                <w:lang w:eastAsia="en-US"/>
              </w:rPr>
            </w:pPr>
          </w:p>
          <w:p w14:paraId="67F39022" w14:textId="77777777" w:rsidR="0032348E" w:rsidRPr="0032348E" w:rsidRDefault="00000000" w:rsidP="0032348E">
            <w:pPr>
              <w:spacing w:after="0" w:line="240" w:lineRule="auto"/>
              <w:jc w:val="both"/>
              <w:rPr>
                <w:rFonts w:ascii="Calibri" w:eastAsia="Times New Roman" w:hAnsi="Calibri" w:cs="Calibri"/>
                <w:sz w:val="22"/>
                <w:szCs w:val="22"/>
                <w:lang w:eastAsia="en-US"/>
              </w:rPr>
            </w:pPr>
            <w:hyperlink r:id="rId16">
              <w:r w:rsidR="0032348E" w:rsidRPr="0032348E">
                <w:rPr>
                  <w:rFonts w:ascii="Calibri" w:eastAsia="Times New Roman" w:hAnsi="Calibri" w:cs="Calibri"/>
                  <w:color w:val="1155CC"/>
                  <w:sz w:val="22"/>
                  <w:szCs w:val="22"/>
                  <w:u w:val="single"/>
                  <w:lang w:eastAsia="en-US"/>
                </w:rPr>
                <w:t>My bb pl</w:t>
              </w:r>
              <w:r w:rsidR="0032348E" w:rsidRPr="0032348E">
                <w:rPr>
                  <w:rFonts w:ascii="Calibri" w:eastAsia="Times New Roman" w:hAnsi="Calibri" w:cs="Calibri"/>
                  <w:color w:val="1155CC"/>
                  <w:sz w:val="22"/>
                  <w:szCs w:val="22"/>
                  <w:u w:val="single"/>
                  <w:lang w:eastAsia="en-US"/>
                </w:rPr>
                <w:t>a</w:t>
              </w:r>
              <w:r w:rsidR="0032348E" w:rsidRPr="0032348E">
                <w:rPr>
                  <w:rFonts w:ascii="Calibri" w:eastAsia="Times New Roman" w:hAnsi="Calibri" w:cs="Calibri"/>
                  <w:color w:val="1155CC"/>
                  <w:sz w:val="22"/>
                  <w:szCs w:val="22"/>
                  <w:u w:val="single"/>
                  <w:lang w:eastAsia="en-US"/>
                </w:rPr>
                <w:t>tform</w:t>
              </w:r>
            </w:hyperlink>
          </w:p>
          <w:p w14:paraId="05ED5F1E" w14:textId="77777777" w:rsidR="0032348E" w:rsidRPr="0032348E" w:rsidRDefault="0032348E" w:rsidP="0032348E">
            <w:pPr>
              <w:spacing w:after="0" w:line="240" w:lineRule="auto"/>
              <w:jc w:val="both"/>
              <w:rPr>
                <w:rFonts w:ascii="Calibri" w:eastAsia="Times New Roman" w:hAnsi="Calibri" w:cs="Calibri"/>
                <w:sz w:val="22"/>
                <w:szCs w:val="22"/>
                <w:lang w:eastAsia="en-US"/>
              </w:rPr>
            </w:pPr>
          </w:p>
          <w:p w14:paraId="7E66B18D" w14:textId="77777777" w:rsidR="0032348E" w:rsidRPr="0032348E" w:rsidRDefault="00000000" w:rsidP="0032348E">
            <w:pPr>
              <w:spacing w:after="0" w:line="240" w:lineRule="auto"/>
              <w:jc w:val="both"/>
              <w:rPr>
                <w:rFonts w:ascii="Calibri" w:eastAsia="Times New Roman" w:hAnsi="Calibri" w:cs="Calibri"/>
                <w:sz w:val="22"/>
                <w:szCs w:val="22"/>
                <w:lang w:eastAsia="en-US"/>
              </w:rPr>
            </w:pPr>
            <w:hyperlink r:id="rId17">
              <w:r w:rsidR="0032348E" w:rsidRPr="0032348E">
                <w:rPr>
                  <w:rFonts w:ascii="Calibri" w:eastAsia="Times New Roman" w:hAnsi="Calibri" w:cs="Calibri"/>
                  <w:color w:val="1155CC"/>
                  <w:sz w:val="22"/>
                  <w:szCs w:val="22"/>
                  <w:u w:val="single"/>
                  <w:lang w:eastAsia="en-US"/>
                </w:rPr>
                <w:t>PROFI-VNFIL</w:t>
              </w:r>
            </w:hyperlink>
          </w:p>
        </w:tc>
      </w:tr>
    </w:tbl>
    <w:p w14:paraId="1ACC71FA" w14:textId="6CA09B85" w:rsidR="00332DCD" w:rsidRDefault="00332DCD" w:rsidP="00332DCD">
      <w:pPr>
        <w:spacing w:after="0" w:line="240" w:lineRule="auto"/>
      </w:pPr>
    </w:p>
    <w:p w14:paraId="7678BE52" w14:textId="77777777" w:rsidR="00332DCD" w:rsidRDefault="00332DCD"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8"/>
          <w:footerReference w:type="default" r:id="rId19"/>
          <w:headerReference w:type="first" r:id="rId20"/>
          <w:footerReference w:type="first" r:id="rId21"/>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6879" w14:textId="77777777" w:rsidR="00116416" w:rsidRDefault="00116416">
      <w:pPr>
        <w:spacing w:after="0" w:line="240" w:lineRule="auto"/>
      </w:pPr>
      <w:r>
        <w:separator/>
      </w:r>
    </w:p>
  </w:endnote>
  <w:endnote w:type="continuationSeparator" w:id="0">
    <w:p w14:paraId="7CA97F5D" w14:textId="77777777" w:rsidR="00116416" w:rsidRDefault="0011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42AE" w14:textId="77777777" w:rsidR="00116416" w:rsidRDefault="00116416">
      <w:pPr>
        <w:spacing w:after="0" w:line="240" w:lineRule="auto"/>
      </w:pPr>
      <w:r>
        <w:separator/>
      </w:r>
    </w:p>
  </w:footnote>
  <w:footnote w:type="continuationSeparator" w:id="0">
    <w:p w14:paraId="4DE5AE5C" w14:textId="77777777" w:rsidR="00116416" w:rsidRDefault="00116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6"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0"/>
  </w:num>
  <w:num w:numId="3" w16cid:durableId="66920851">
    <w:abstractNumId w:val="3"/>
  </w:num>
  <w:num w:numId="4" w16cid:durableId="1156919979">
    <w:abstractNumId w:val="1"/>
  </w:num>
  <w:num w:numId="5" w16cid:durableId="1580603019">
    <w:abstractNumId w:val="7"/>
  </w:num>
  <w:num w:numId="6" w16cid:durableId="1412311328">
    <w:abstractNumId w:val="6"/>
  </w:num>
  <w:num w:numId="7" w16cid:durableId="645551205">
    <w:abstractNumId w:val="15"/>
  </w:num>
  <w:num w:numId="8" w16cid:durableId="1842816723">
    <w:abstractNumId w:val="13"/>
  </w:num>
  <w:num w:numId="9" w16cid:durableId="1951815080">
    <w:abstractNumId w:val="2"/>
  </w:num>
  <w:num w:numId="10" w16cid:durableId="239759453">
    <w:abstractNumId w:val="12"/>
  </w:num>
  <w:num w:numId="11" w16cid:durableId="868955650">
    <w:abstractNumId w:val="16"/>
  </w:num>
  <w:num w:numId="12" w16cid:durableId="539167064">
    <w:abstractNumId w:val="8"/>
  </w:num>
  <w:num w:numId="13" w16cid:durableId="523326463">
    <w:abstractNumId w:val="4"/>
  </w:num>
  <w:num w:numId="14" w16cid:durableId="354040956">
    <w:abstractNumId w:val="14"/>
  </w:num>
  <w:num w:numId="15" w16cid:durableId="261881934">
    <w:abstractNumId w:val="9"/>
  </w:num>
  <w:num w:numId="16" w16cid:durableId="235827550">
    <w:abstractNumId w:val="11"/>
  </w:num>
  <w:num w:numId="17" w16cid:durableId="1716268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16416"/>
    <w:rsid w:val="002A518D"/>
    <w:rsid w:val="0032348E"/>
    <w:rsid w:val="00332DCD"/>
    <w:rsid w:val="00367DF1"/>
    <w:rsid w:val="00560AC7"/>
    <w:rsid w:val="0066726D"/>
    <w:rsid w:val="00865AEC"/>
    <w:rsid w:val="00873BB1"/>
    <w:rsid w:val="00972798"/>
    <w:rsid w:val="009B1DF9"/>
    <w:rsid w:val="00B130DB"/>
    <w:rsid w:val="00C4247D"/>
    <w:rsid w:val="00CA10AF"/>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B1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ialo-edu.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portfolio.profi-vnfil.eu/el/%ce%bf%ce%bc%ce%ac%ce%b4%ce%b5%cf%82/" TargetMode="External"/><Relationship Id="rId2" Type="http://schemas.openxmlformats.org/officeDocument/2006/relationships/numbering" Target="numbering.xml"/><Relationship Id="rId16" Type="http://schemas.openxmlformats.org/officeDocument/2006/relationships/hyperlink" Target="https://mybb.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ialo-edu.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8l8w2tBCLOd_Y6dxx6JYxdguNZPg92UT/view?usp=drive_lin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499</Words>
  <Characters>2697</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4</cp:revision>
  <dcterms:created xsi:type="dcterms:W3CDTF">2023-11-14T22:52:00Z</dcterms:created>
  <dcterms:modified xsi:type="dcterms:W3CDTF">2023-11-15T09:44:00Z</dcterms:modified>
</cp:coreProperties>
</file>